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20"/>
        <w:jc w:val="center"/>
      </w:pPr>
      <w:r>
        <w:drawing>
          <wp:inline distT="0" distB="0" distL="0" distR="0">
            <wp:extent cx="1790700" cy="18478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60" w:before="0"/>
        <w:jc w:val="center"/>
      </w:pPr>
      <w:r>
        <w:rPr>
          <w:rFonts w:ascii="Georgia" w:cs="Georgia" w:eastAsia="Georgia" w:hAnsi="Georgia"/>
          <w:color w:val="33302B"/>
          <w:sz w:val="44"/>
          <w:szCs w:val="44"/>
        </w:rPr>
        <w:t xml:space="preserve">Portal do Mentorando</w:t>
      </w:r>
    </w:p>
    <w:p>
      <w:pPr>
        <w:spacing w:after="220" w:line="264"/>
        <w:jc w:val="center"/>
      </w:pPr>
      <w:r>
        <w:rPr>
          <w:rFonts w:ascii="Calibri" w:cs="Calibri" w:eastAsia="Calibri" w:hAnsi="Calibri"/>
          <w:i/>
          <w:iCs/>
          <w:color w:val="8A7E72"/>
          <w:sz w:val="19"/>
          <w:szCs w:val="19"/>
        </w:rPr>
        <w:t xml:space="preserve">Blueprint de estrutura para o espaço online onde vive a mentoria, em Notion ou no teu stack web (Vercel + Supabase).</w:t>
      </w:r>
    </w:p>
    <w:p>
      <w:pPr>
        <w:pBdr>
          <w:bottom w:val="single" w:color="E3D9CC" w:sz="6" w:space="1"/>
        </w:pBdr>
        <w:spacing w:after="140" w:before="300"/>
      </w:pPr>
      <w:r>
        <w:rPr>
          <w:rFonts w:ascii="Georgia" w:cs="Georgia" w:eastAsia="Georgia" w:hAnsi="Georgia"/>
          <w:color w:val="33302B"/>
          <w:sz w:val="28"/>
          <w:szCs w:val="28"/>
        </w:rPr>
        <w:t xml:space="preserve">Porquê um Portal</w:t>
      </w:r>
    </w:p>
    <w:p>
      <w:pPr>
        <w:spacing w:after="13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02B"/>
          <w:sz w:val="21"/>
          <w:szCs w:val="21"/>
        </w:rPr>
        <w:t xml:space="preserve">Centralizar tudo num só espaço eleva a perceção de premium e dá ao mentorando uma sensação clara de progresso. É o equivalente, para a mentoria, ao portal de cliente que ensinas na Sessão 6.</w:t>
      </w:r>
    </w:p>
    <w:p>
      <w:pPr>
        <w:pBdr>
          <w:bottom w:val="single" w:color="E3D9CC" w:sz="6" w:space="1"/>
        </w:pBdr>
        <w:spacing w:after="140" w:before="300"/>
      </w:pPr>
      <w:r>
        <w:rPr>
          <w:rFonts w:ascii="Georgia" w:cs="Georgia" w:eastAsia="Georgia" w:hAnsi="Georgia"/>
          <w:color w:val="33302B"/>
          <w:sz w:val="28"/>
          <w:szCs w:val="28"/>
        </w:rPr>
        <w:t xml:space="preserve">Estrutura de Páginas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426"/>
      </w:tblGrid>
      <w:tr>
        <w:trPr>
          <w:tblHeader/>
        </w:trPr>
        <w:tc>
          <w:tcPr>
            <w:tcW w:type="dxa" w:w="26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shd w:fill="EFE7DE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9A7B66"/>
                <w:spacing w:val="20"/>
                <w:sz w:val="18"/>
                <w:szCs w:val="18"/>
              </w:rPr>
              <w:t xml:space="preserve">Página</w:t>
            </w:r>
          </w:p>
        </w:tc>
        <w:tc>
          <w:tcPr>
            <w:tcW w:type="dxa" w:w="64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shd w:fill="EFE7DE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9A7B66"/>
                <w:spacing w:val="20"/>
                <w:sz w:val="18"/>
                <w:szCs w:val="18"/>
              </w:rPr>
              <w:t xml:space="preserve">Conteúdo</w:t>
            </w:r>
          </w:p>
        </w:tc>
      </w:tr>
      <w:tr>
        <w:tc>
          <w:tcPr>
            <w:tcW w:type="dxa" w:w="26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Início / Boas-vindas</w:t>
            </w:r>
          </w:p>
        </w:tc>
        <w:tc>
          <w:tcPr>
            <w:tcW w:type="dxa" w:w="64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Mensagem de boas-vindas, o Método RL, como navegar e o calendário das 8 semanas.</w:t>
            </w:r>
          </w:p>
        </w:tc>
      </w:tr>
      <w:tr>
        <w:tc>
          <w:tcPr>
            <w:tcW w:type="dxa" w:w="26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As 8 Sessões</w:t>
            </w:r>
          </w:p>
        </w:tc>
        <w:tc>
          <w:tcPr>
            <w:tcW w:type="dxa" w:w="64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Uma página por sessão: vídeo/gravação, slides, guia, trabalho da semana e entregável.</w:t>
            </w:r>
          </w:p>
        </w:tc>
      </w:tr>
      <w:tr>
        <w:tc>
          <w:tcPr>
            <w:tcW w:type="dxa" w:w="26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Biblioteca de Templates</w:t>
            </w:r>
          </w:p>
        </w:tc>
        <w:tc>
          <w:tcPr>
            <w:tcW w:type="dxa" w:w="64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Intake, guião de reunião, proposta, experiência e dashboard, prontos a descarregar.</w:t>
            </w:r>
          </w:p>
        </w:tc>
      </w:tr>
      <w:tr>
        <w:tc>
          <w:tcPr>
            <w:tcW w:type="dxa" w:w="26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Diagnóstico &amp; Progresso</w:t>
            </w:r>
          </w:p>
        </w:tc>
        <w:tc>
          <w:tcPr>
            <w:tcW w:type="dxa" w:w="64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Diagnóstico inicial, reavaliação e acompanhamento dos entregáveis concluídos.</w:t>
            </w:r>
          </w:p>
        </w:tc>
      </w:tr>
      <w:tr>
        <w:tc>
          <w:tcPr>
            <w:tcW w:type="dxa" w:w="26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Métricas</w:t>
            </w:r>
          </w:p>
        </w:tc>
        <w:tc>
          <w:tcPr>
            <w:tcW w:type="dxa" w:w="64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O dashboard dos 100K, preenchido pelo mentorando ao longo do programa.</w:t>
            </w:r>
          </w:p>
        </w:tc>
      </w:tr>
      <w:tr>
        <w:tc>
          <w:tcPr>
            <w:tcW w:type="dxa" w:w="26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Comunidade / Alumni</w:t>
            </w:r>
          </w:p>
        </w:tc>
        <w:tc>
          <w:tcPr>
            <w:tcW w:type="dxa" w:w="64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Espaço de mastermind e acesso continuado após as 8 semanas.</w:t>
            </w:r>
          </w:p>
        </w:tc>
      </w:tr>
      <w:tr>
        <w:tc>
          <w:tcPr>
            <w:tcW w:type="dxa" w:w="26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FAQ &amp; Suporte</w:t>
            </w:r>
          </w:p>
        </w:tc>
        <w:tc>
          <w:tcPr>
            <w:tcW w:type="dxa" w:w="64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Dúvidas frequentes e como contactar entre sessões.</w:t>
            </w:r>
          </w:p>
        </w:tc>
      </w:tr>
    </w:tbl>
    <w:p>
      <w:pPr>
        <w:pBdr>
          <w:bottom w:val="single" w:color="E3D9CC" w:sz="6" w:space="1"/>
        </w:pBdr>
        <w:spacing w:after="140" w:before="300"/>
      </w:pPr>
      <w:r>
        <w:rPr>
          <w:rFonts w:ascii="Georgia" w:cs="Georgia" w:eastAsia="Georgia" w:hAnsi="Georgia"/>
          <w:color w:val="33302B"/>
          <w:sz w:val="28"/>
          <w:szCs w:val="28"/>
        </w:rPr>
        <w:t xml:space="preserve">Estrutura de Cada Sessão (modelo)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Objetivo da sessão (1 frase) e o que vais conquistar.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Gravação / vídeo e os slides da sessão.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Guia de leitura aprofundada (do manual da mentoria).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Trabalho da semana (3 tarefas) e o entregável.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Marcar como concluído → alimenta a barra de progresso.</w:t>
      </w:r>
    </w:p>
    <w:p>
      <w:pPr>
        <w:pBdr>
          <w:bottom w:val="single" w:color="E3D9CC" w:sz="6" w:space="1"/>
        </w:pBdr>
        <w:spacing w:after="140" w:before="300"/>
      </w:pPr>
      <w:r>
        <w:rPr>
          <w:rFonts w:ascii="Georgia" w:cs="Georgia" w:eastAsia="Georgia" w:hAnsi="Georgia"/>
          <w:color w:val="33302B"/>
          <w:sz w:val="28"/>
          <w:szCs w:val="28"/>
        </w:rPr>
        <w:t xml:space="preserve">Notas Técnicas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b/>
          <w:bCs/>
          <w:i w:val="false"/>
          <w:iCs w:val="false"/>
          <w:color w:val="9A7B66"/>
          <w:sz w:val="21"/>
          <w:szCs w:val="21"/>
        </w:rPr>
        <w:t xml:space="preserve">Notion: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02B"/>
          <w:sz w:val="21"/>
          <w:szCs w:val="21"/>
        </w:rPr>
        <w:t xml:space="preserve">rápido de montar, fácil de partilhar por convite, ideal para arrancar já.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b/>
          <w:bCs/>
          <w:i w:val="false"/>
          <w:iCs w:val="false"/>
          <w:color w:val="9A7B66"/>
          <w:sz w:val="21"/>
          <w:szCs w:val="21"/>
        </w:rPr>
        <w:t xml:space="preserve">Web (Vercel + Supabase):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02B"/>
          <w:sz w:val="21"/>
          <w:szCs w:val="21"/>
        </w:rPr>
        <w:t xml:space="preserve">mais trabalho, mas 100% à tua marca, com login, progresso e área de membros.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b/>
          <w:bCs/>
          <w:i w:val="false"/>
          <w:iCs w:val="false"/>
          <w:color w:val="9A7B66"/>
          <w:sz w:val="21"/>
          <w:szCs w:val="21"/>
        </w:rPr>
        <w:t xml:space="preserve">Recomendação: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02B"/>
          <w:sz w:val="21"/>
          <w:szCs w:val="21"/>
        </w:rPr>
        <w:t xml:space="preserve">começa em Notion para validar a experiência; migra para web quando a mentoria escalar.</w:t>
      </w:r>
    </w:p>
    <w:p>
      <w:pPr>
        <w:pBdr>
          <w:bottom w:val="single" w:color="E3D9CC" w:sz="6" w:space="1"/>
        </w:pBdr>
        <w:spacing w:after="140" w:before="300"/>
      </w:pPr>
      <w:r>
        <w:rPr>
          <w:rFonts w:ascii="Georgia" w:cs="Georgia" w:eastAsia="Georgia" w:hAnsi="Georgia"/>
          <w:color w:val="33302B"/>
          <w:sz w:val="28"/>
          <w:szCs w:val="28"/>
        </w:rPr>
        <w:t xml:space="preserve">Checklist de Construção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Criar as 7 páginas-base e a navegação.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Carregar slides, guias e templates de cada sessão.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Inserir o diagrama do Método RL na página inicial.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Configurar acessos (convite por mentorando ou login).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Testar a jornada completa como se fosses o mentorando.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3D9CC" w:sz="4" w:space="1"/>
      </w:pBdr>
      <w:spacing w:before="80"/>
      <w:jc w:val="center"/>
    </w:pPr>
    <w:r>
      <w:rPr>
        <w:rFonts w:ascii="Calibri" w:cs="Calibri" w:eastAsia="Calibri" w:hAnsi="Calibri"/>
        <w:color w:val="B1937E"/>
        <w:spacing w:val="30"/>
        <w:sz w:val="15"/>
        <w:szCs w:val="15"/>
      </w:rPr>
      <w:t xml:space="preserve">RL WEDDING MENTOR   ·   EDUCATE · INSPIRE · ELEVATE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B1937E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9A7B66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02B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3013e45dced162d20a06c03378979384b04e6b95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2026-06-09T13:17:02.966Z</dcterms:created>
  <dcterms:modified xsi:type="dcterms:W3CDTF">2026-06-09T13:17:02.966Z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