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20"/>
        <w:jc w:val="center"/>
      </w:pPr>
      <w:r>
        <w:drawing>
          <wp:inline distT="0" distB="0" distL="0" distR="0">
            <wp:extent cx="1790700" cy="184785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700" cy="1847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60" w:before="0"/>
        <w:jc w:val="center"/>
      </w:pPr>
      <w:r>
        <w:rPr>
          <w:rFonts w:ascii="Georgia" w:cs="Georgia" w:eastAsia="Georgia" w:hAnsi="Georgia"/>
          <w:color w:val="33302B"/>
          <w:sz w:val="44"/>
          <w:szCs w:val="44"/>
        </w:rPr>
        <w:t xml:space="preserve">Bem-vindo à Mentoria</w:t>
      </w:r>
    </w:p>
    <w:p>
      <w:pPr>
        <w:spacing w:after="220" w:line="264"/>
        <w:jc w:val="center"/>
      </w:pPr>
      <w:r>
        <w:rPr>
          <w:rFonts w:ascii="Calibri" w:cs="Calibri" w:eastAsia="Calibri" w:hAnsi="Calibri"/>
          <w:i/>
          <w:iCs/>
          <w:color w:val="8A7E72"/>
          <w:sz w:val="19"/>
          <w:szCs w:val="19"/>
        </w:rPr>
        <w:t xml:space="preserve">Como tirar o máximo das próximas 8 semanas.</w:t>
      </w:r>
    </w:p>
    <w:p>
      <w:pPr>
        <w:spacing w:after="130" w:line="276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33302B"/>
          <w:sz w:val="21"/>
          <w:szCs w:val="21"/>
        </w:rPr>
        <w:t xml:space="preserve">Parabéns pela decisão.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olor w:val="33302B"/>
          <w:sz w:val="21"/>
          <w:szCs w:val="21"/>
        </w:rPr>
        <w:t xml:space="preserve">A partir de agora não vais juntar mais «dicas soltas», vais instalar um sistema completo, do posicionamento à escala. Este guia explica como funciona e como aproveitar cada sessão ao máximo.</w:t>
      </w:r>
    </w:p>
    <w:p>
      <w:pPr>
        <w:pBdr>
          <w:bottom w:val="single" w:color="E3D9CC" w:sz="6" w:space="1"/>
        </w:pBdr>
        <w:spacing w:after="140" w:before="300"/>
      </w:pPr>
      <w:r>
        <w:rPr>
          <w:rFonts w:ascii="Georgia" w:cs="Georgia" w:eastAsia="Georgia" w:hAnsi="Georgia"/>
          <w:color w:val="33302B"/>
          <w:sz w:val="28"/>
          <w:szCs w:val="28"/>
        </w:rPr>
        <w:t xml:space="preserve">O Que Vais Conquistar</w:t>
      </w:r>
    </w:p>
    <w:p>
      <w:pPr>
        <w:spacing w:after="130" w:line="276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33302B"/>
          <w:sz w:val="21"/>
          <w:szCs w:val="21"/>
        </w:rPr>
        <w:t xml:space="preserve">Ao longo de 8 sessões semanais, vais sair com o Método RL implementado no teu negócio: posicionamento, motor de leads, reuniões que fecham, propostas premium, experiência memorável e sistemas que tornam os 100K repetíveis.</w:t>
      </w:r>
    </w:p>
    <w:p>
      <w:pPr>
        <w:pBdr>
          <w:bottom w:val="single" w:color="E3D9CC" w:sz="6" w:space="1"/>
        </w:pBdr>
        <w:spacing w:after="140" w:before="300"/>
      </w:pPr>
      <w:r>
        <w:rPr>
          <w:rFonts w:ascii="Georgia" w:cs="Georgia" w:eastAsia="Georgia" w:hAnsi="Georgia"/>
          <w:color w:val="33302B"/>
          <w:sz w:val="28"/>
          <w:szCs w:val="28"/>
        </w:rPr>
        <w:t xml:space="preserve">Como Funcionam as Sessões</w:t>
      </w:r>
    </w:p>
    <w:p>
      <w:pPr>
        <w:pStyle w:val="ListParagraph"/>
        <w:numPr>
          <w:ilvl w:val="0"/>
          <w:numId w:val="2"/>
        </w:numPr>
        <w:spacing w:after="70" w:line="270"/>
      </w:pPr>
      <w:r>
        <w:rPr>
          <w:rFonts w:ascii="Calibri" w:cs="Calibri" w:eastAsia="Calibri" w:hAnsi="Calibri"/>
          <w:b/>
          <w:bCs/>
          <w:i w:val="false"/>
          <w:iCs w:val="false"/>
          <w:color w:val="9A7B66"/>
          <w:sz w:val="21"/>
          <w:szCs w:val="21"/>
        </w:rPr>
        <w:t xml:space="preserve">Antes: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olor w:val="33302B"/>
          <w:sz w:val="21"/>
          <w:szCs w:val="21"/>
        </w:rPr>
        <w:t xml:space="preserve">revês o material e trazes o trabalho da semana feito.</w:t>
      </w:r>
    </w:p>
    <w:p>
      <w:pPr>
        <w:pStyle w:val="ListParagraph"/>
        <w:numPr>
          <w:ilvl w:val="0"/>
          <w:numId w:val="2"/>
        </w:numPr>
        <w:spacing w:after="70" w:line="270"/>
      </w:pPr>
      <w:r>
        <w:rPr>
          <w:rFonts w:ascii="Calibri" w:cs="Calibri" w:eastAsia="Calibri" w:hAnsi="Calibri"/>
          <w:b/>
          <w:bCs/>
          <w:i w:val="false"/>
          <w:iCs w:val="false"/>
          <w:color w:val="9A7B66"/>
          <w:sz w:val="21"/>
          <w:szCs w:val="21"/>
        </w:rPr>
        <w:t xml:space="preserve">Durante: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olor w:val="33302B"/>
          <w:sz w:val="21"/>
          <w:szCs w:val="21"/>
        </w:rPr>
        <w:t xml:space="preserve">trabalhamos o teu caso real, não teoria genérica.</w:t>
      </w:r>
    </w:p>
    <w:p>
      <w:pPr>
        <w:pStyle w:val="ListParagraph"/>
        <w:numPr>
          <w:ilvl w:val="0"/>
          <w:numId w:val="2"/>
        </w:numPr>
        <w:spacing w:after="70" w:line="270"/>
      </w:pPr>
      <w:r>
        <w:rPr>
          <w:rFonts w:ascii="Calibri" w:cs="Calibri" w:eastAsia="Calibri" w:hAnsi="Calibri"/>
          <w:b/>
          <w:bCs/>
          <w:i w:val="false"/>
          <w:iCs w:val="false"/>
          <w:color w:val="9A7B66"/>
          <w:sz w:val="21"/>
          <w:szCs w:val="21"/>
        </w:rPr>
        <w:t xml:space="preserve">Depois: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olor w:val="33302B"/>
          <w:sz w:val="21"/>
          <w:szCs w:val="21"/>
        </w:rPr>
        <w:t xml:space="preserve">sais com ações concretas e um entregável por sessão.</w:t>
      </w:r>
    </w:p>
    <w:p>
      <w:pPr>
        <w:pBdr>
          <w:bottom w:val="single" w:color="E3D9CC" w:sz="6" w:space="1"/>
        </w:pBdr>
        <w:spacing w:after="140" w:before="300"/>
      </w:pPr>
      <w:r>
        <w:rPr>
          <w:rFonts w:ascii="Georgia" w:cs="Georgia" w:eastAsia="Georgia" w:hAnsi="Georgia"/>
          <w:color w:val="33302B"/>
          <w:sz w:val="28"/>
          <w:szCs w:val="28"/>
        </w:rPr>
        <w:t xml:space="preserve">As 8 Sessões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526"/>
      </w:tblGrid>
      <w:tr>
        <w:trPr>
          <w:tblHeader/>
        </w:trPr>
        <w:tc>
          <w:tcPr>
            <w:tcW w:type="dxa" w:w="1500"/>
            <w:tcBorders>
              <w:top w:val="single" w:color="E3D9CC" w:sz="4" w:space="1"/>
              <w:left w:val="single" w:color="E3D9CC" w:sz="4" w:space="1"/>
              <w:bottom w:val="single" w:color="E3D9CC" w:sz="4" w:space="1"/>
              <w:right w:val="single" w:color="E3D9CC" w:sz="4" w:space="1"/>
            </w:tcBorders>
            <w:shd w:fill="EFE7DE" w:val="clear"/>
            <w:tcMar>
              <w:top w:type="dxa" w:w="90"/>
              <w:left w:type="dxa" w:w="140"/>
              <w:bottom w:type="dxa" w:w="90"/>
              <w:right w:type="dxa" w:w="14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9A7B66"/>
                <w:spacing w:val="20"/>
                <w:sz w:val="18"/>
                <w:szCs w:val="18"/>
              </w:rPr>
              <w:t xml:space="preserve">Sessão</w:t>
            </w:r>
          </w:p>
        </w:tc>
        <w:tc>
          <w:tcPr>
            <w:tcW w:type="dxa" w:w="7526"/>
            <w:tcBorders>
              <w:top w:val="single" w:color="E3D9CC" w:sz="4" w:space="1"/>
              <w:left w:val="single" w:color="E3D9CC" w:sz="4" w:space="1"/>
              <w:bottom w:val="single" w:color="E3D9CC" w:sz="4" w:space="1"/>
              <w:right w:val="single" w:color="E3D9CC" w:sz="4" w:space="1"/>
            </w:tcBorders>
            <w:shd w:fill="EFE7DE" w:val="clear"/>
            <w:tcMar>
              <w:top w:type="dxa" w:w="90"/>
              <w:left w:type="dxa" w:w="140"/>
              <w:bottom w:type="dxa" w:w="90"/>
              <w:right w:type="dxa" w:w="14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9A7B66"/>
                <w:spacing w:val="20"/>
                <w:sz w:val="18"/>
                <w:szCs w:val="18"/>
              </w:rPr>
              <w:t xml:space="preserve">Tema</w:t>
            </w:r>
          </w:p>
        </w:tc>
      </w:tr>
      <w:tr>
        <w:tc>
          <w:tcPr>
            <w:tcW w:type="dxa" w:w="1500"/>
            <w:tcBorders>
              <w:top w:val="single" w:color="E3D9CC" w:sz="4" w:space="1"/>
              <w:left w:val="single" w:color="E3D9CC" w:sz="4" w:space="1"/>
              <w:bottom w:val="single" w:color="E3D9CC" w:sz="4" w:space="1"/>
              <w:right w:val="single" w:color="E3D9CC" w:sz="4" w:space="1"/>
            </w:tcBorders>
            <w:tcMar>
              <w:top w:type="dxa" w:w="90"/>
              <w:left w:type="dxa" w:w="140"/>
              <w:bottom w:type="dxa" w:w="90"/>
              <w:right w:type="dxa" w:w="140"/>
            </w:tcMar>
            <w:vAlign w:val="top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color w:val="33302B"/>
                <w:sz w:val="19"/>
                <w:szCs w:val="19"/>
              </w:rPr>
              <w:t xml:space="preserve">1</w:t>
            </w:r>
          </w:p>
        </w:tc>
        <w:tc>
          <w:tcPr>
            <w:tcW w:type="dxa" w:w="7526"/>
            <w:tcBorders>
              <w:top w:val="single" w:color="E3D9CC" w:sz="4" w:space="1"/>
              <w:left w:val="single" w:color="E3D9CC" w:sz="4" w:space="1"/>
              <w:bottom w:val="single" w:color="E3D9CC" w:sz="4" w:space="1"/>
              <w:right w:val="single" w:color="E3D9CC" w:sz="4" w:space="1"/>
            </w:tcBorders>
            <w:tcMar>
              <w:top w:type="dxa" w:w="90"/>
              <w:left w:type="dxa" w:w="140"/>
              <w:bottom w:type="dxa" w:w="90"/>
              <w:right w:type="dxa" w:w="140"/>
            </w:tcMar>
            <w:vAlign w:val="top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color w:val="33302B"/>
                <w:sz w:val="19"/>
                <w:szCs w:val="19"/>
              </w:rPr>
              <w:t xml:space="preserve">Posicionamento e a Matemática dos 100K</w:t>
            </w:r>
          </w:p>
        </w:tc>
      </w:tr>
      <w:tr>
        <w:tc>
          <w:tcPr>
            <w:tcW w:type="dxa" w:w="1500"/>
            <w:tcBorders>
              <w:top w:val="single" w:color="E3D9CC" w:sz="4" w:space="1"/>
              <w:left w:val="single" w:color="E3D9CC" w:sz="4" w:space="1"/>
              <w:bottom w:val="single" w:color="E3D9CC" w:sz="4" w:space="1"/>
              <w:right w:val="single" w:color="E3D9CC" w:sz="4" w:space="1"/>
            </w:tcBorders>
            <w:tcMar>
              <w:top w:type="dxa" w:w="90"/>
              <w:left w:type="dxa" w:w="140"/>
              <w:bottom w:type="dxa" w:w="90"/>
              <w:right w:type="dxa" w:w="140"/>
            </w:tcMar>
            <w:vAlign w:val="top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color w:val="33302B"/>
                <w:sz w:val="19"/>
                <w:szCs w:val="19"/>
              </w:rPr>
              <w:t xml:space="preserve">2</w:t>
            </w:r>
          </w:p>
        </w:tc>
        <w:tc>
          <w:tcPr>
            <w:tcW w:type="dxa" w:w="7526"/>
            <w:tcBorders>
              <w:top w:val="single" w:color="E3D9CC" w:sz="4" w:space="1"/>
              <w:left w:val="single" w:color="E3D9CC" w:sz="4" w:space="1"/>
              <w:bottom w:val="single" w:color="E3D9CC" w:sz="4" w:space="1"/>
              <w:right w:val="single" w:color="E3D9CC" w:sz="4" w:space="1"/>
            </w:tcBorders>
            <w:tcMar>
              <w:top w:type="dxa" w:w="90"/>
              <w:left w:type="dxa" w:w="140"/>
              <w:bottom w:type="dxa" w:w="90"/>
              <w:right w:type="dxa" w:w="140"/>
            </w:tcMar>
            <w:vAlign w:val="top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color w:val="33302B"/>
                <w:sz w:val="19"/>
                <w:szCs w:val="19"/>
              </w:rPr>
              <w:t xml:space="preserve">Como Chegar ao Cliente</w:t>
            </w:r>
          </w:p>
        </w:tc>
      </w:tr>
      <w:tr>
        <w:tc>
          <w:tcPr>
            <w:tcW w:type="dxa" w:w="1500"/>
            <w:tcBorders>
              <w:top w:val="single" w:color="E3D9CC" w:sz="4" w:space="1"/>
              <w:left w:val="single" w:color="E3D9CC" w:sz="4" w:space="1"/>
              <w:bottom w:val="single" w:color="E3D9CC" w:sz="4" w:space="1"/>
              <w:right w:val="single" w:color="E3D9CC" w:sz="4" w:space="1"/>
            </w:tcBorders>
            <w:tcMar>
              <w:top w:type="dxa" w:w="90"/>
              <w:left w:type="dxa" w:w="140"/>
              <w:bottom w:type="dxa" w:w="90"/>
              <w:right w:type="dxa" w:w="140"/>
            </w:tcMar>
            <w:vAlign w:val="top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color w:val="33302B"/>
                <w:sz w:val="19"/>
                <w:szCs w:val="19"/>
              </w:rPr>
              <w:t xml:space="preserve">3</w:t>
            </w:r>
          </w:p>
        </w:tc>
        <w:tc>
          <w:tcPr>
            <w:tcW w:type="dxa" w:w="7526"/>
            <w:tcBorders>
              <w:top w:val="single" w:color="E3D9CC" w:sz="4" w:space="1"/>
              <w:left w:val="single" w:color="E3D9CC" w:sz="4" w:space="1"/>
              <w:bottom w:val="single" w:color="E3D9CC" w:sz="4" w:space="1"/>
              <w:right w:val="single" w:color="E3D9CC" w:sz="4" w:space="1"/>
            </w:tcBorders>
            <w:tcMar>
              <w:top w:type="dxa" w:w="90"/>
              <w:left w:type="dxa" w:w="140"/>
              <w:bottom w:type="dxa" w:w="90"/>
              <w:right w:type="dxa" w:w="140"/>
            </w:tcMar>
            <w:vAlign w:val="top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color w:val="33302B"/>
                <w:sz w:val="19"/>
                <w:szCs w:val="19"/>
              </w:rPr>
              <w:t xml:space="preserve">Captação e Qualificação do Lead</w:t>
            </w:r>
          </w:p>
        </w:tc>
      </w:tr>
      <w:tr>
        <w:tc>
          <w:tcPr>
            <w:tcW w:type="dxa" w:w="1500"/>
            <w:tcBorders>
              <w:top w:val="single" w:color="E3D9CC" w:sz="4" w:space="1"/>
              <w:left w:val="single" w:color="E3D9CC" w:sz="4" w:space="1"/>
              <w:bottom w:val="single" w:color="E3D9CC" w:sz="4" w:space="1"/>
              <w:right w:val="single" w:color="E3D9CC" w:sz="4" w:space="1"/>
            </w:tcBorders>
            <w:tcMar>
              <w:top w:type="dxa" w:w="90"/>
              <w:left w:type="dxa" w:w="140"/>
              <w:bottom w:type="dxa" w:w="90"/>
              <w:right w:type="dxa" w:w="140"/>
            </w:tcMar>
            <w:vAlign w:val="top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color w:val="33302B"/>
                <w:sz w:val="19"/>
                <w:szCs w:val="19"/>
              </w:rPr>
              <w:t xml:space="preserve">4</w:t>
            </w:r>
          </w:p>
        </w:tc>
        <w:tc>
          <w:tcPr>
            <w:tcW w:type="dxa" w:w="7526"/>
            <w:tcBorders>
              <w:top w:val="single" w:color="E3D9CC" w:sz="4" w:space="1"/>
              <w:left w:val="single" w:color="E3D9CC" w:sz="4" w:space="1"/>
              <w:bottom w:val="single" w:color="E3D9CC" w:sz="4" w:space="1"/>
              <w:right w:val="single" w:color="E3D9CC" w:sz="4" w:space="1"/>
            </w:tcBorders>
            <w:tcMar>
              <w:top w:type="dxa" w:w="90"/>
              <w:left w:type="dxa" w:w="140"/>
              <w:bottom w:type="dxa" w:w="90"/>
              <w:right w:type="dxa" w:w="140"/>
            </w:tcMar>
            <w:vAlign w:val="top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color w:val="33302B"/>
                <w:sz w:val="19"/>
                <w:szCs w:val="19"/>
              </w:rPr>
              <w:t xml:space="preserve">A Reunião de Venda</w:t>
            </w:r>
          </w:p>
        </w:tc>
      </w:tr>
      <w:tr>
        <w:tc>
          <w:tcPr>
            <w:tcW w:type="dxa" w:w="1500"/>
            <w:tcBorders>
              <w:top w:val="single" w:color="E3D9CC" w:sz="4" w:space="1"/>
              <w:left w:val="single" w:color="E3D9CC" w:sz="4" w:space="1"/>
              <w:bottom w:val="single" w:color="E3D9CC" w:sz="4" w:space="1"/>
              <w:right w:val="single" w:color="E3D9CC" w:sz="4" w:space="1"/>
            </w:tcBorders>
            <w:tcMar>
              <w:top w:type="dxa" w:w="90"/>
              <w:left w:type="dxa" w:w="140"/>
              <w:bottom w:type="dxa" w:w="90"/>
              <w:right w:type="dxa" w:w="140"/>
            </w:tcMar>
            <w:vAlign w:val="top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color w:val="33302B"/>
                <w:sz w:val="19"/>
                <w:szCs w:val="19"/>
              </w:rPr>
              <w:t xml:space="preserve">5</w:t>
            </w:r>
          </w:p>
        </w:tc>
        <w:tc>
          <w:tcPr>
            <w:tcW w:type="dxa" w:w="7526"/>
            <w:tcBorders>
              <w:top w:val="single" w:color="E3D9CC" w:sz="4" w:space="1"/>
              <w:left w:val="single" w:color="E3D9CC" w:sz="4" w:space="1"/>
              <w:bottom w:val="single" w:color="E3D9CC" w:sz="4" w:space="1"/>
              <w:right w:val="single" w:color="E3D9CC" w:sz="4" w:space="1"/>
            </w:tcBorders>
            <w:tcMar>
              <w:top w:type="dxa" w:w="90"/>
              <w:left w:type="dxa" w:w="140"/>
              <w:bottom w:type="dxa" w:w="90"/>
              <w:right w:type="dxa" w:w="140"/>
            </w:tcMar>
            <w:vAlign w:val="top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color w:val="33302B"/>
                <w:sz w:val="19"/>
                <w:szCs w:val="19"/>
              </w:rPr>
              <w:t xml:space="preserve">Proposta e Pricing</w:t>
            </w:r>
          </w:p>
        </w:tc>
      </w:tr>
      <w:tr>
        <w:tc>
          <w:tcPr>
            <w:tcW w:type="dxa" w:w="1500"/>
            <w:tcBorders>
              <w:top w:val="single" w:color="E3D9CC" w:sz="4" w:space="1"/>
              <w:left w:val="single" w:color="E3D9CC" w:sz="4" w:space="1"/>
              <w:bottom w:val="single" w:color="E3D9CC" w:sz="4" w:space="1"/>
              <w:right w:val="single" w:color="E3D9CC" w:sz="4" w:space="1"/>
            </w:tcBorders>
            <w:tcMar>
              <w:top w:type="dxa" w:w="90"/>
              <w:left w:type="dxa" w:w="140"/>
              <w:bottom w:type="dxa" w:w="90"/>
              <w:right w:type="dxa" w:w="140"/>
            </w:tcMar>
            <w:vAlign w:val="top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color w:val="33302B"/>
                <w:sz w:val="19"/>
                <w:szCs w:val="19"/>
              </w:rPr>
              <w:t xml:space="preserve">6</w:t>
            </w:r>
          </w:p>
        </w:tc>
        <w:tc>
          <w:tcPr>
            <w:tcW w:type="dxa" w:w="7526"/>
            <w:tcBorders>
              <w:top w:val="single" w:color="E3D9CC" w:sz="4" w:space="1"/>
              <w:left w:val="single" w:color="E3D9CC" w:sz="4" w:space="1"/>
              <w:bottom w:val="single" w:color="E3D9CC" w:sz="4" w:space="1"/>
              <w:right w:val="single" w:color="E3D9CC" w:sz="4" w:space="1"/>
            </w:tcBorders>
            <w:tcMar>
              <w:top w:type="dxa" w:w="90"/>
              <w:left w:type="dxa" w:w="140"/>
              <w:bottom w:type="dxa" w:w="90"/>
              <w:right w:type="dxa" w:w="140"/>
            </w:tcMar>
            <w:vAlign w:val="top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color w:val="33302B"/>
                <w:sz w:val="19"/>
                <w:szCs w:val="19"/>
              </w:rPr>
              <w:t xml:space="preserve">Experiência e Portal de Cliente</w:t>
            </w:r>
          </w:p>
        </w:tc>
      </w:tr>
      <w:tr>
        <w:tc>
          <w:tcPr>
            <w:tcW w:type="dxa" w:w="1500"/>
            <w:tcBorders>
              <w:top w:val="single" w:color="E3D9CC" w:sz="4" w:space="1"/>
              <w:left w:val="single" w:color="E3D9CC" w:sz="4" w:space="1"/>
              <w:bottom w:val="single" w:color="E3D9CC" w:sz="4" w:space="1"/>
              <w:right w:val="single" w:color="E3D9CC" w:sz="4" w:space="1"/>
            </w:tcBorders>
            <w:tcMar>
              <w:top w:type="dxa" w:w="90"/>
              <w:left w:type="dxa" w:w="140"/>
              <w:bottom w:type="dxa" w:w="90"/>
              <w:right w:type="dxa" w:w="140"/>
            </w:tcMar>
            <w:vAlign w:val="top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color w:val="33302B"/>
                <w:sz w:val="19"/>
                <w:szCs w:val="19"/>
              </w:rPr>
              <w:t xml:space="preserve">7</w:t>
            </w:r>
          </w:p>
        </w:tc>
        <w:tc>
          <w:tcPr>
            <w:tcW w:type="dxa" w:w="7526"/>
            <w:tcBorders>
              <w:top w:val="single" w:color="E3D9CC" w:sz="4" w:space="1"/>
              <w:left w:val="single" w:color="E3D9CC" w:sz="4" w:space="1"/>
              <w:bottom w:val="single" w:color="E3D9CC" w:sz="4" w:space="1"/>
              <w:right w:val="single" w:color="E3D9CC" w:sz="4" w:space="1"/>
            </w:tcBorders>
            <w:tcMar>
              <w:top w:type="dxa" w:w="90"/>
              <w:left w:type="dxa" w:w="140"/>
              <w:bottom w:type="dxa" w:w="90"/>
              <w:right w:type="dxa" w:w="140"/>
            </w:tcMar>
            <w:vAlign w:val="top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color w:val="33302B"/>
                <w:sz w:val="19"/>
                <w:szCs w:val="19"/>
              </w:rPr>
              <w:t xml:space="preserve">Produção e Entrega</w:t>
            </w:r>
          </w:p>
        </w:tc>
      </w:tr>
      <w:tr>
        <w:tc>
          <w:tcPr>
            <w:tcW w:type="dxa" w:w="1500"/>
            <w:tcBorders>
              <w:top w:val="single" w:color="E3D9CC" w:sz="4" w:space="1"/>
              <w:left w:val="single" w:color="E3D9CC" w:sz="4" w:space="1"/>
              <w:bottom w:val="single" w:color="E3D9CC" w:sz="4" w:space="1"/>
              <w:right w:val="single" w:color="E3D9CC" w:sz="4" w:space="1"/>
            </w:tcBorders>
            <w:tcMar>
              <w:top w:type="dxa" w:w="90"/>
              <w:left w:type="dxa" w:w="140"/>
              <w:bottom w:type="dxa" w:w="90"/>
              <w:right w:type="dxa" w:w="140"/>
            </w:tcMar>
            <w:vAlign w:val="top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color w:val="33302B"/>
                <w:sz w:val="19"/>
                <w:szCs w:val="19"/>
              </w:rPr>
              <w:t xml:space="preserve">8</w:t>
            </w:r>
          </w:p>
        </w:tc>
        <w:tc>
          <w:tcPr>
            <w:tcW w:type="dxa" w:w="7526"/>
            <w:tcBorders>
              <w:top w:val="single" w:color="E3D9CC" w:sz="4" w:space="1"/>
              <w:left w:val="single" w:color="E3D9CC" w:sz="4" w:space="1"/>
              <w:bottom w:val="single" w:color="E3D9CC" w:sz="4" w:space="1"/>
              <w:right w:val="single" w:color="E3D9CC" w:sz="4" w:space="1"/>
            </w:tcBorders>
            <w:tcMar>
              <w:top w:type="dxa" w:w="90"/>
              <w:left w:type="dxa" w:w="140"/>
              <w:bottom w:type="dxa" w:w="90"/>
              <w:right w:type="dxa" w:w="140"/>
            </w:tcMar>
            <w:vAlign w:val="top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color w:val="33302B"/>
                <w:sz w:val="19"/>
                <w:szCs w:val="19"/>
              </w:rPr>
              <w:t xml:space="preserve">Pós-venda, Escala e Sistemas</w:t>
            </w:r>
          </w:p>
        </w:tc>
      </w:tr>
    </w:tbl>
    <w:p>
      <w:pPr>
        <w:pBdr>
          <w:bottom w:val="single" w:color="E3D9CC" w:sz="6" w:space="1"/>
        </w:pBdr>
        <w:spacing w:after="140" w:before="300"/>
      </w:pPr>
      <w:r>
        <w:rPr>
          <w:rFonts w:ascii="Georgia" w:cs="Georgia" w:eastAsia="Georgia" w:hAnsi="Georgia"/>
          <w:color w:val="33302B"/>
          <w:sz w:val="28"/>
          <w:szCs w:val="28"/>
        </w:rPr>
        <w:t xml:space="preserve">O Teu Compromisso</w:t>
      </w:r>
    </w:p>
    <w:p>
      <w:pPr>
        <w:pStyle w:val="ListParagraph"/>
        <w:numPr>
          <w:ilvl w:val="0"/>
          <w:numId w:val="2"/>
        </w:numPr>
        <w:spacing w:after="70" w:line="270"/>
      </w:pPr>
      <w:r>
        <w:rPr>
          <w:rFonts w:ascii="Calibri" w:cs="Calibri" w:eastAsia="Calibri" w:hAnsi="Calibri"/>
          <w:color w:val="33302B"/>
          <w:sz w:val="21"/>
          <w:szCs w:val="21"/>
        </w:rPr>
        <w:t xml:space="preserve">Reserva 2–3 horas por semana para o trabalho de implementação.</w:t>
      </w:r>
    </w:p>
    <w:p>
      <w:pPr>
        <w:pStyle w:val="ListParagraph"/>
        <w:numPr>
          <w:ilvl w:val="0"/>
          <w:numId w:val="2"/>
        </w:numPr>
        <w:spacing w:after="70" w:line="270"/>
      </w:pPr>
      <w:r>
        <w:rPr>
          <w:rFonts w:ascii="Calibri" w:cs="Calibri" w:eastAsia="Calibri" w:hAnsi="Calibri"/>
          <w:color w:val="33302B"/>
          <w:sz w:val="21"/>
          <w:szCs w:val="21"/>
        </w:rPr>
        <w:t xml:space="preserve">Faz os entregáveis: é o que muda a faturação, não a teoria.</w:t>
      </w:r>
    </w:p>
    <w:p>
      <w:pPr>
        <w:pStyle w:val="ListParagraph"/>
        <w:numPr>
          <w:ilvl w:val="0"/>
          <w:numId w:val="2"/>
        </w:numPr>
        <w:spacing w:after="70" w:line="270"/>
      </w:pPr>
      <w:r>
        <w:rPr>
          <w:rFonts w:ascii="Calibri" w:cs="Calibri" w:eastAsia="Calibri" w:hAnsi="Calibri"/>
          <w:color w:val="33302B"/>
          <w:sz w:val="21"/>
          <w:szCs w:val="21"/>
        </w:rPr>
        <w:t xml:space="preserve">Traz dúvidas e números reais, quanto mais abertura, mais retorno.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tcBorders>
              <w:top w:val="single" w:color="E3D9CC" w:sz="4" w:space="1"/>
              <w:left w:val="single" w:color="E3D9CC" w:sz="4" w:space="1"/>
              <w:bottom w:val="single" w:color="E3D9CC" w:sz="4" w:space="1"/>
              <w:right w:val="single" w:color="E3D9CC" w:sz="4" w:space="1"/>
            </w:tcBorders>
            <w:shd w:fill="F8F6F3" w:val="clear"/>
            <w:tcMar>
              <w:top w:type="dxa" w:w="160"/>
              <w:left w:type="dxa" w:w="200"/>
              <w:bottom w:type="dxa" w:w="160"/>
              <w:right w:type="dxa" w:w="200"/>
            </w:tcMar>
          </w:tcPr>
          <w:p>
            <w:pPr>
              <w:spacing w:after="0" w:line="276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9A7B66"/>
                <w:sz w:val="21"/>
                <w:szCs w:val="21"/>
              </w:rPr>
              <w:t xml:space="preserve">Uma promessa: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33302B"/>
                <w:sz w:val="21"/>
                <w:szCs w:val="21"/>
              </w:rPr>
              <w:t xml:space="preserve">se fizeres o trabalho de cada semana, no fim não tens apontamentos, tens um sistema a faturar.</w:t>
            </w:r>
          </w:p>
        </w:tc>
      </w:tr>
    </w:tbl>
    <w:sectPr>
      <w:footerReference w:type="default" r:id="rId7"/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E3D9CC" w:sz="4" w:space="1"/>
      </w:pBdr>
      <w:spacing w:before="80"/>
      <w:jc w:val="center"/>
    </w:pPr>
    <w:r>
      <w:rPr>
        <w:rFonts w:ascii="Calibri" w:cs="Calibri" w:eastAsia="Calibri" w:hAnsi="Calibri"/>
        <w:color w:val="B1937E"/>
        <w:spacing w:val="30"/>
        <w:sz w:val="15"/>
        <w:szCs w:val="15"/>
      </w:rPr>
      <w:t xml:space="preserve">RL WEDDING MENTOR   ·   EDUCATE · INSPIRE · ELEVATE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460" w:hanging="260"/>
      </w:pPr>
      <w:rPr>
        <w:color w:val="B1937E"/>
      </w:r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  <w:rPr>
        <w:b/>
        <w:bCs/>
        <w:color w:val="9A7B66"/>
      </w:r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33302B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image" Target="media/3013e45dced162d20a06c03378979384b04e6b95.png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2026-06-09T13:17:02.735Z</dcterms:created>
  <dcterms:modified xsi:type="dcterms:W3CDTF">2026-06-09T13:17:02.735Z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