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O Método RL</w:t>
      </w:r>
    </w:p>
    <w:p>
      <w:pPr>
        <w:spacing w:after="22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O sistema proprietário que estrutura toda a mentoria, quatro fases que transformam paixão num negócio de 100.000€/ano.</w:t>
      </w:r>
    </w:p>
    <w:p>
      <w:pPr>
        <w:spacing w:after="200"/>
        <w:jc w:val="center"/>
      </w:pPr>
      <w:r>
        <w:drawing>
          <wp:inline distT="0" distB="0" distL="0" distR="0">
            <wp:extent cx="5715000" cy="4038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FASE 1 · POSICIONAR &amp; ATRAIR  (SESSÕES 1–2)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Definir o número-alvo e o casal ideal, e construir um motor previsível de leads através de conteúdo, parcerias e referências.</w:t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FASE 2 · CAPTAR &amp; FECHAR  (SESSÕES 3–5)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Responder depressa, qualificar, conduzir a reunião pela emoção e fechar a preço premium com proposta e pricing à medida.</w:t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FASE 3 · ENCANTAR &amp; ENTREGAR  (SESSÕES 6–7)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Desenhar uma experiência memorável com portal de cliente e momentos «uau», e um workflow de produção e entrega que marca.</w:t>
      </w:r>
    </w:p>
    <w:p>
      <w:pPr>
        <w:spacing w:after="70" w:before="220"/>
      </w:pPr>
      <w:r>
        <w:rPr>
          <w:rFonts w:ascii="Calibri" w:cs="Calibri" w:eastAsia="Calibri" w:hAnsi="Calibri"/>
          <w:b/>
          <w:bCs/>
          <w:color w:val="B1937E"/>
          <w:spacing w:val="40"/>
          <w:sz w:val="18"/>
          <w:szCs w:val="18"/>
        </w:rPr>
        <w:t xml:space="preserve">FASE 4 · ESCALAR &amp; REPETIR  (SESSÃO 8)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Colher no pico da emoção (testemunhos, referências, upsells) e instalar os sistemas e métricas que tornam os 100K repetíveis.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image" Target="media/f708c5368c5a792337ed0a190483de39f7fe84a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2026-06-09T13:17:02.327Z</dcterms:created>
  <dcterms:modified xsi:type="dcterms:W3CDTF">2026-06-09T13:17:02.328Z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